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40"/>
        <w:gridCol w:w="180"/>
        <w:gridCol w:w="60"/>
        <w:gridCol w:w="140"/>
        <w:gridCol w:w="300"/>
        <w:gridCol w:w="300"/>
        <w:gridCol w:w="40"/>
        <w:gridCol w:w="40"/>
        <w:gridCol w:w="200"/>
        <w:gridCol w:w="40"/>
        <w:gridCol w:w="240"/>
        <w:gridCol w:w="480"/>
        <w:gridCol w:w="280"/>
        <w:gridCol w:w="60"/>
        <w:gridCol w:w="40"/>
        <w:gridCol w:w="220"/>
        <w:gridCol w:w="220"/>
        <w:gridCol w:w="400"/>
        <w:gridCol w:w="80"/>
        <w:gridCol w:w="620"/>
        <w:gridCol w:w="300"/>
        <w:gridCol w:w="40"/>
        <w:gridCol w:w="140"/>
        <w:gridCol w:w="140"/>
        <w:gridCol w:w="340"/>
        <w:gridCol w:w="320"/>
        <w:gridCol w:w="2140"/>
        <w:gridCol w:w="500"/>
        <w:gridCol w:w="340"/>
        <w:gridCol w:w="480"/>
        <w:gridCol w:w="60"/>
        <w:gridCol w:w="1220"/>
        <w:gridCol w:w="80"/>
        <w:gridCol w:w="40"/>
        <w:gridCol w:w="180"/>
        <w:gridCol w:w="40"/>
        <w:gridCol w:w="40"/>
        <w:gridCol w:w="60"/>
        <w:gridCol w:w="40"/>
        <w:gridCol w:w="20"/>
        <w:gridCol w:w="280"/>
        <w:gridCol w:w="400"/>
      </w:tblGrid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sz w:val="36"/>
              </w:rPr>
              <w:t>SALİH MEMİŞ</w:t>
            </w: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sz w:val="28"/>
              </w:rPr>
              <w:t>DOKTOR ÖĞRETİM ÜYESİ</w:t>
            </w: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5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t>:</w:t>
            </w:r>
          </w:p>
        </w:tc>
        <w:tc>
          <w:tcPr>
            <w:tcW w:w="5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</w:rPr>
              <w:t>salih.memis@giresun.edu.tr</w:t>
            </w: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5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t>:</w:t>
            </w:r>
          </w:p>
        </w:tc>
        <w:tc>
          <w:tcPr>
            <w:tcW w:w="5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sz w:val="18"/>
              </w:rPr>
              <w:t xml:space="preserve">Giresun Üniversitesi Bulancak Uygulamalı Bilimler Yüksekokulu Güzelyalı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Mah.</w:t>
            </w:r>
            <w:r>
              <w:rPr>
                <w:rFonts w:ascii="Verdana" w:eastAsia="Verdana" w:hAnsi="Verdana" w:cs="Verdana"/>
                <w:sz w:val="18"/>
              </w:rPr>
              <w:t>Derya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Cad. No: 10 Bulancak / GİRESUN</w:t>
            </w: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5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53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12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EE0" w:rsidRDefault="009E5574">
            <w:r>
              <w:rPr>
                <w:rFonts w:ascii="Verdana" w:eastAsia="Verdana" w:hAnsi="Verdana" w:cs="Verdana"/>
              </w:rPr>
              <w:t>KARADENİZ TEKNİK ÜNİVERSİTESİ</w:t>
            </w: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sz w:val="16"/>
              </w:rPr>
              <w:t>SOSYAL BİLİMLER ENSTİTÜSÜ/İŞLETME (DR)</w:t>
            </w: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2010</w:t>
            </w: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1/Haziran/2014</w:t>
            </w: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sz w:val="16"/>
              </w:rPr>
              <w:t>Tez adı: Lisanslı depo yer seçimini etkileyen faktörlerin fındık mamulü ihracatı yapan işletme yöneticileri tarafından algılanması  (2014) Tez Danışmanı:(HATİCE DİLARA KESKİN)</w:t>
            </w: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12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EE0" w:rsidRDefault="009E5574">
            <w:r>
              <w:rPr>
                <w:rFonts w:ascii="Verdana" w:eastAsia="Verdana" w:hAnsi="Verdana" w:cs="Verdana"/>
              </w:rPr>
              <w:t>MARMARA ÜNİVERSİTESİ</w:t>
            </w: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sz w:val="16"/>
              </w:rPr>
              <w:t>SOSYAL BİLİMLER ENSTİTÜSÜ/ÜRETİM YÖNETİMİ VE PAZARLAMA (YL) (TEZLİ)</w:t>
            </w: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2005</w:t>
            </w: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28/Kasım/2007</w:t>
            </w: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sz w:val="16"/>
              </w:rPr>
              <w:t>Tez adı: Türkiye'</w:t>
            </w:r>
            <w:r>
              <w:rPr>
                <w:rFonts w:ascii="Verdana" w:eastAsia="Verdana" w:hAnsi="Verdana" w:cs="Verdana"/>
                <w:sz w:val="16"/>
              </w:rPr>
              <w:t>de fındık üretiminde yeni ürün geliştirme süreci ve bir uygulama  (2007) Tez Danışmanı:(OYGUR YAMAK)</w:t>
            </w: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12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EE0" w:rsidRDefault="009E5574">
            <w:r>
              <w:rPr>
                <w:rFonts w:ascii="Verdana" w:eastAsia="Verdana" w:hAnsi="Verdana" w:cs="Verdana"/>
              </w:rPr>
              <w:t>MARMARA ÜNİVERSİTESİ</w:t>
            </w: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sz w:val="16"/>
              </w:rPr>
              <w:t>İKTİSADİ VE İDARİ BİLİMLER FAKÜLTESİ/İŞLETME BÖLÜMÜ</w:t>
            </w: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2001</w:t>
            </w: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17/Haziran/2005</w:t>
            </w: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3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12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3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9E5574">
            <w:r>
              <w:rPr>
                <w:rFonts w:ascii="Verdana" w:eastAsia="Verdana" w:hAnsi="Verdana" w:cs="Verdana"/>
                <w:sz w:val="18"/>
              </w:rPr>
              <w:t>GİRESUN ÜNİVERSİTESİ/BULANCAK KADİR KARABAŞ UYGULAMALI BİLİMLER YÜKSEKOKULU/ULUSLARARASI LOJİSTİK VE TAŞIMACILIK BÖLÜMÜ/ULUSLARARASI LOJİSTİK VE TAŞIMACILIK ANABİLİM DALI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3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2017 </w:t>
            </w:r>
          </w:p>
        </w:tc>
        <w:tc>
          <w:tcPr>
            <w:tcW w:w="77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12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3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9E5574">
            <w:r>
              <w:rPr>
                <w:rFonts w:ascii="Verdana" w:eastAsia="Verdana" w:hAnsi="Verdana" w:cs="Verdana"/>
                <w:sz w:val="18"/>
              </w:rPr>
              <w:t>GİRESUN ÜNİVERSİTESİ/SOSYAL BİLİMLER MESLEK YÜKSEKOKULU/YÖNETİM VE ORGANİZASYON BÖLÜMÜ/İŞLETME YÖNETİMİ PR.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3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2016-2017</w:t>
            </w:r>
          </w:p>
        </w:tc>
        <w:tc>
          <w:tcPr>
            <w:tcW w:w="77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12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3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ÖĞRETİM GÖREVLİSİ (DR)</w:t>
            </w:r>
          </w:p>
        </w:tc>
        <w:tc>
          <w:tcPr>
            <w:tcW w:w="77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9E5574">
            <w:r>
              <w:rPr>
                <w:rFonts w:ascii="Verdana" w:eastAsia="Verdana" w:hAnsi="Verdana" w:cs="Verdana"/>
                <w:sz w:val="18"/>
              </w:rPr>
              <w:t>GİRESUN ÜNİVERSİTESİ/SOSYAL BİLİMLER MESLEK YÜKSEKOKULU/MUHASEBE VE VERGİ BÖLÜMÜ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3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2014-2016</w:t>
            </w:r>
          </w:p>
        </w:tc>
        <w:tc>
          <w:tcPr>
            <w:tcW w:w="77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12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3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ÖĞRETİM GÖREVLİSİ</w:t>
            </w:r>
          </w:p>
        </w:tc>
        <w:tc>
          <w:tcPr>
            <w:tcW w:w="77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9E5574">
            <w:r>
              <w:rPr>
                <w:rFonts w:ascii="Verdana" w:eastAsia="Verdana" w:hAnsi="Verdana" w:cs="Verdana"/>
                <w:sz w:val="18"/>
              </w:rPr>
              <w:t>GİRESUN ÜNİVERSİTESİ/SOSYAL BİLİMLER MESLEK YÜKSEKOKULU/MUHASEBE VE VERGİ BÖLÜMÜ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3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2007-2014</w:t>
            </w:r>
          </w:p>
        </w:tc>
        <w:tc>
          <w:tcPr>
            <w:tcW w:w="77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92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Tüketicilerin Helal Sertifikalı Mamullere Yöneliminin, Algılanan Risk ve Güven Arayışına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AracılıkEtkisi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ARAŞTIRMA PROJESİ,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Yürütücü:MEMİŞ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SALİH,Araştırmacı:CESUR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ZAFER,Araştırmacı:AKIN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ÜNVER, , 20/04/2017 </w:t>
            </w:r>
            <w:r>
              <w:rPr>
                <w:rFonts w:ascii="Verdana" w:eastAsia="Verdana" w:hAnsi="Verdana" w:cs="Verdana"/>
                <w:sz w:val="18"/>
              </w:rPr>
              <w:t>(</w:t>
            </w:r>
            <w:r>
              <w:rPr>
                <w:rFonts w:ascii="Verdana" w:eastAsia="Verdana" w:hAnsi="Verdana" w:cs="Verdana"/>
                <w:sz w:val="18"/>
              </w:rPr>
              <w:t>Devam Ediyor</w:t>
            </w:r>
            <w:r>
              <w:rPr>
                <w:rFonts w:ascii="Verdana" w:eastAsia="Verdana" w:hAnsi="Verdana" w:cs="Verdana"/>
                <w:sz w:val="18"/>
              </w:rPr>
              <w:t xml:space="preserve">) </w:t>
            </w:r>
            <w:r>
              <w:rPr>
                <w:rFonts w:ascii="Verdana" w:eastAsia="Verdana" w:hAnsi="Verdana" w:cs="Verdana"/>
                <w:sz w:val="18"/>
              </w:rPr>
              <w:t>(ULU</w:t>
            </w:r>
            <w:r>
              <w:rPr>
                <w:rFonts w:ascii="Verdana" w:eastAsia="Verdana" w:hAnsi="Verdana" w:cs="Verdana"/>
                <w:sz w:val="18"/>
              </w:rPr>
              <w:t xml:space="preserve">SAL) </w:t>
            </w: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2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E80EE0" w:rsidRDefault="00E80EE0">
            <w:pPr>
              <w:pStyle w:val="EMPTYCELLSTYLE"/>
            </w:pPr>
          </w:p>
        </w:tc>
        <w:tc>
          <w:tcPr>
            <w:tcW w:w="12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92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Gençlik İstihdamı İçin Sürekli Eğitim ve Mükemmeliyet Merkezi Projesi, Avrupa Birliği,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Eğitmen:MEMİŞ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SALİH, , 01/04/2011 - 30/10/2011 (ULUSLARARASI) </w:t>
            </w: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2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9E5574">
            <w:r>
              <w:rPr>
                <w:rFonts w:ascii="Verdana" w:eastAsia="Verdana" w:hAnsi="Verdana" w:cs="Verdana"/>
                <w:sz w:val="18"/>
              </w:rPr>
              <w:t>GİRESUN ÜNİVERSİTESİ/BULANCAK KADİR KARABAŞ UYGULAMALI BİLİMLER YÜKSEKOKULU/ULUSLARARASI LOJİSTİK VE TAŞIMACILIK BÖLÜMÜ/ULUSLARARASI LOJİSTİK VE TAŞIMACILIK ANABİLİM DALI</w:t>
            </w: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9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Bölüm Bşk.</w:t>
            </w:r>
          </w:p>
        </w:tc>
        <w:tc>
          <w:tcPr>
            <w:tcW w:w="76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4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rPr>
                <w:sz w:val="16"/>
              </w:rPr>
              <w:t>2017</w:t>
            </w: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4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9E5574">
            <w:r>
              <w:rPr>
                <w:rFonts w:ascii="Verdana" w:eastAsia="Verdana" w:hAnsi="Verdana" w:cs="Verdana"/>
                <w:sz w:val="18"/>
              </w:rPr>
              <w:t>GİRESUN ÜNİVERSİTESİ/SOSYAL BİLİMLER MESLEK YÜKSEKOKULU/YÖNETİM VE ORGANİZASYON BÖLÜMÜ</w:t>
            </w: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9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Bölüm Bşk.</w:t>
            </w:r>
          </w:p>
        </w:tc>
        <w:tc>
          <w:tcPr>
            <w:tcW w:w="76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4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rPr>
                <w:sz w:val="16"/>
              </w:rPr>
              <w:t>2016-2017</w:t>
            </w: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4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9E5574">
            <w:r>
              <w:rPr>
                <w:rFonts w:ascii="Verdana" w:eastAsia="Verdana" w:hAnsi="Verdana" w:cs="Verdana"/>
                <w:sz w:val="18"/>
              </w:rPr>
              <w:t>GİRESUN ÜNİVERSİTESİ/KADIN SORUNLARI UYGULAMA VE ARAŞTIRMA MERKEZİ</w:t>
            </w: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9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Yönetim Kurulu Üyeliği</w:t>
            </w:r>
          </w:p>
        </w:tc>
        <w:tc>
          <w:tcPr>
            <w:tcW w:w="76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4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rPr>
                <w:sz w:val="16"/>
              </w:rPr>
              <w:t>2012-2015</w:t>
            </w: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6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4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6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b/>
              </w:rPr>
              <w:t>2016-2017</w:t>
            </w: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roofErr w:type="spellStart"/>
            <w:r>
              <w:rPr>
                <w:rFonts w:ascii="Verdana" w:eastAsia="Verdana" w:hAnsi="Verdana" w:cs="Verdana"/>
                <w:b/>
              </w:rPr>
              <w:t>Önlisans</w:t>
            </w:r>
            <w:proofErr w:type="spellEnd"/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6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</w:rPr>
              <w:t>Satış Teknikleri Yönetimi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6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</w:rPr>
              <w:t>Girişimcilik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6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</w:rPr>
              <w:t>İnsan Kaynakları Yönetimi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6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</w:rPr>
              <w:t>İşletme Becerileri Grup Çalışması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6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</w:rPr>
              <w:t>Genel İşletme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6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</w:rPr>
              <w:t>Girişimcilik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b/>
              </w:rPr>
              <w:t>Lisans</w:t>
            </w: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6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</w:rPr>
              <w:t>Girişimcilik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6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</w:rPr>
              <w:t>İşletme Yönetimi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b/>
              </w:rPr>
              <w:t>2015-2016</w:t>
            </w: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roofErr w:type="spellStart"/>
            <w:r>
              <w:rPr>
                <w:rFonts w:ascii="Verdana" w:eastAsia="Verdana" w:hAnsi="Verdana" w:cs="Verdana"/>
                <w:b/>
              </w:rPr>
              <w:t>Önlisans</w:t>
            </w:r>
            <w:proofErr w:type="spellEnd"/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6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</w:rPr>
              <w:t>İhracat Teknikleri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6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</w:rPr>
              <w:t>Elektronik Pazarlama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6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</w:rPr>
              <w:t>Girişimcilik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6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</w:rPr>
              <w:t>Girişimcilik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6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</w:rPr>
              <w:t>Genel İşletme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79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MEMİŞ SALİH (2018).  TÜKETİCİLERİN KONUT SEÇİMİNİ ETKİLEYEN FAKTÖRLERİNBELİRLENMESİNE YÖNELİK BİR ARAŞTIRMA. 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Academic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Value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4(20), 652-665. (Yayın No: 4297004)</w:t>
            </w: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MEMİŞ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SALİH,CESUR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ZAFER,AKIN ÜNVER (2018).  Tüketicilerin Helal Sertifikalı Mamullere Yöneliminin, Algılanan Risk ve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GüvenArayışına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Aracılık Etkisi.  Balkan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Near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Eastern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4(2), 32-46. (Yayın No: 4297000)</w:t>
            </w: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CESUR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ZAFER,MEMİŞ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SALİH (2017).  POLİTİK MARKA BAĞLILIĞI VE MARKA BAĞLILIĞINI ETKİLEYEN FAKTÖRLERİ BELİRLEMEYE YÖNELİK BİR ARAŞTIRMA.  Electronic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Vocational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Colleges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7(1), 74-83. (Yayın No: 3712191)</w:t>
            </w: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E80EE0" w:rsidRDefault="00E80EE0">
            <w:pPr>
              <w:pStyle w:val="EMPTYCELLSTYLE"/>
            </w:pPr>
          </w:p>
        </w:tc>
        <w:tc>
          <w:tcPr>
            <w:tcW w:w="1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MEMİŞ SALİH (2017).  TURİZMDE YENİ BİR PAZARLAMA YAKLAŞIMI: HELAL TURİZM VE DÜNYADAKİ UYGULAMALARI ÜZERİNE BİR İNCELEME.  Gümüşhane Üniversitesi Sosyal Bilimler Enstitüsü Elektronik Dergisi, 8(21), 172-183. (Yayın No: 3712201)</w:t>
            </w: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MEMİŞ SALİH (2017).  HALAL TOURISM PRACTICES AS A MARKETING TYPE: THE EXAMPLE OF BIRUN KÜMBET MOUNTAIN HOTEL.  TURAN-SAM, 9(35), 45-50. (Yayın No: 3712221)</w:t>
            </w: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MEMİŞ SALİH (2017).  PAZARLAMAMA KAVRAMI VE UYGULAMADAKİ BAZI ÖRNEKLER.  Uluslararası Sosyal Araştırmalar Dergisi, 10(50), 770-775. (Yayın No: 3712232)</w:t>
            </w: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TAYFUR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GIYASETTİN,CESUR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ZAFER,MEMİŞ SALİH (2017).  Sakarya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Üniversitesi’xxnin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Marka Kişiliğinin Belirlenmesine Yönelik Bir Araştırma.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Academic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(54), 241-253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http://dx.doi.org/10.9761/JASSS3810 (Yayın No: 3488449</w:t>
            </w:r>
            <w:r>
              <w:rPr>
                <w:rFonts w:ascii="Verdana" w:eastAsia="Verdana" w:hAnsi="Verdana" w:cs="Verdana"/>
                <w:sz w:val="18"/>
              </w:rPr>
              <w:t>)</w:t>
            </w: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TAYFUR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GIYASETTİN,CESUR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ZAFER,MEMİŞ SALİH (2017).  SAKARYA ÜNİVERSİTESİNİN MARKA KİŞİLİĞİNİN BELİRLENMESİNE YÖNELİK BİR ARAŞTIRMA.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Academic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1(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Number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54), 241-153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10.9761/JASSS3810 (Yayın No: 4043010)</w:t>
            </w: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MEMİŞ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SALİH,KESKİN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HATİCE DİLARA (2016).  Fındık Mamulü İhracatı Yapan İşletmelerin Lisanslı Depo Yer Seçimine Yönelik Algılarının Faktör Analizi Yöntemiyle Belirlenmesi.  Afyon Kocatepe Üniversitesi Sosyal Bilimler Enstitüsü Dergisi, 18(2), 83-114. (Yayın</w:t>
            </w:r>
            <w:r>
              <w:rPr>
                <w:rFonts w:ascii="Verdana" w:eastAsia="Verdana" w:hAnsi="Verdana" w:cs="Verdana"/>
                <w:sz w:val="18"/>
              </w:rPr>
              <w:t xml:space="preserve"> No: 3039888)</w:t>
            </w: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CESUR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ZAFER,MEMİŞ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SALİH (2016).  Yeşil Ürünlere İlişkin Öğrencilerin Tutumlarını Belirlemeye Yönelik Bir Araştırma.  Uluslararası Sosyal Araştırmalar Dergisi, 9(46), 664-673. (Yayın No: 2942936)</w:t>
            </w: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MEMİŞ SALİH (2016).  Tatil Yeri Seçiminde Etkili Olan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Faktörler  Yerli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Turistler Üzerine Bir Araştırma.  Kesit Akademi, 2(4), 503-517. (Yayın No: 2875236)</w:t>
            </w: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11.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MEMİŞ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SALİH,KESKİN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HATİCE DİLARA (2015).  Tarımsal Mamullerde Lisanslı Depoculuk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SistemininRolü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Yönetim ve Ekonomi Celal Bayar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Üniversitesiİktisadi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ve İdari Bilimler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Fakültesi  Dergisi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, 22(2), 619-633. (Yayın No: 1989078)</w:t>
            </w: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12.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CESUR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ZAFER,MEMİŞ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SALİH,GÜNGÖR ÖMER,DEMİR BARIŞ (2018).  Marka Bağlamında Marka Adı Kavramının Pazarlama ve Hukuk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AçısındanDeğerlendirilmesi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VII.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InternaƟonal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Balkan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Near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Eastern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Series, 759 (Özet Bildiri/Sözlü Sunum)(Yayın No</w:t>
            </w:r>
            <w:r>
              <w:rPr>
                <w:rFonts w:ascii="Verdana" w:eastAsia="Verdana" w:hAnsi="Verdana" w:cs="Verdana"/>
                <w:sz w:val="18"/>
              </w:rPr>
              <w:t>:4211668)</w:t>
            </w: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CESUR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ZAFER,MEMİŞ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SALİH,GÜNGÖR ÖMER,DEMİR BARIŞ (2018).  Seçmenlerin, Parti (Politik Marka) Tercihini Belirleyen Faktörlerin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PolitikPazarlama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Bağlamında Ortaya Çıkarılmasına Yönelik Bir Araştırma.  VII.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InternaƟonal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Balkan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Near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Eastern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</w:t>
            </w:r>
            <w:r>
              <w:rPr>
                <w:rFonts w:ascii="Verdana" w:eastAsia="Verdana" w:hAnsi="Verdana" w:cs="Verdana"/>
                <w:sz w:val="18"/>
              </w:rPr>
              <w:t>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Series, 758 (Özet Bildiri/Sözlü Sunum)(Yayın No:4211666)</w:t>
            </w: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MEMİŞ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SALİH,CESUR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ZAFER (2018).  Tüketicilerin Helal Sertifikalı Ürün Tercihini Etkileyen Faktörleri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veAlgılamalarını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Belirlemeye Yönelik Bir Araştırma.  VII.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InternaƟonal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Balkan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Near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Eastern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Series, 726 (Özet Bildiri/Sözlü Sunu</w:t>
            </w:r>
            <w:r>
              <w:rPr>
                <w:rFonts w:ascii="Verdana" w:eastAsia="Verdana" w:hAnsi="Verdana" w:cs="Verdana"/>
                <w:sz w:val="18"/>
              </w:rPr>
              <w:t>m)(Yayın No:4211670)</w:t>
            </w: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CESUR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ZAFER,MEMİŞ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SALİH,DEMİR BARIŞ,GÜNGÖR ÖMER (2018).  Elektronik Ortamda Girişimcilik: Elektronik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TicaretVe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Sosyal Medyanın Girişimcilik Üzerine Etkileri.  VII.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InternaƟonal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Balkan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Near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Eastern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Series, 757 (Özet Bildiri/Sözlü</w:t>
            </w:r>
            <w:r>
              <w:rPr>
                <w:rFonts w:ascii="Verdana" w:eastAsia="Verdana" w:hAnsi="Verdana" w:cs="Verdana"/>
                <w:sz w:val="18"/>
              </w:rPr>
              <w:t xml:space="preserve"> Sunum)(Yayın No:4211662)</w:t>
            </w: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GÜNGÖR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ÖMER,BOZKURT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SAFİYE,DEMİR BARIŞ,GÖKKAYA ÖZNUR,MEMİŞ SALİH (2017).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İş Sağlığı Ve Güvenliğinde İletişimin Önemi.  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INTERNATIONAL CONFERENCE ON QUALITY IN HIGHER EDUCATION (Özet Bildiri/Sözlü Sunum)(Yayın No:3884523)</w:t>
            </w: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GÜNGÖR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ÖMER,BOZKURT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SAFİYE,DEMİR BARIŞ,GÖKKAYA ÖZNUR,MEMİŞ SALİH (2017).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İŞ SAĞLIĞI VE GÜVENLİĞİNDE İLETİŞİMİN ÖNEMİ.  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ICQH 2017 (Özet Bildiri/Sözlü Sunum)(Yayın No:3731449)</w:t>
            </w: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MEMİŞ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SALİH,BENEK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HAKAN (2017).  TÜRKİYE İLE RUSYA ARASINDA YAŞANAN UÇAK KRİZİNİN TÜRK TURİZMİNEYANSIMALARI.  VII. ULUSLARARASI KARADENİZ SEMPOZYUMU (Tam Metin Bildiri/Sözlü Sunum)(Yayın No:3851095)</w:t>
            </w: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MEMİŞ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SALİH,CESUR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ZAFER,DEMİR BARIŞ,GÖKKAYA ÖZNUR,GÜNGÖR ÖMER (2017).  Üniversite Öğrencilerinin Medya Ve Televizyon Okuryazarlık Düzeylerinin Belirlenmesine Yönelik Alan Çalışması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,.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 VII. Uluslararası Eğitimde Araştırmalar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Kongres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(Özet Bildiri/Sözlü Sunu</w:t>
            </w:r>
            <w:r>
              <w:rPr>
                <w:rFonts w:ascii="Verdana" w:eastAsia="Verdana" w:hAnsi="Verdana" w:cs="Verdana"/>
                <w:sz w:val="18"/>
              </w:rPr>
              <w:t>m)(Yayın No:3652016)</w:t>
            </w: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CESUR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ZAFER,MEMİŞ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SALİH (2017).  Seçmenlerin Politik Pazarlamada Marka Değiştirme Eğilimi Faktörlerinin Ortaya Çıkarılmasına Yönelik Bir Araştırma.  IBANESS-III. International Balkan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Near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Eastern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Series (Özet Bildiri/Sözlü Sunu</w:t>
            </w:r>
            <w:r>
              <w:rPr>
                <w:rFonts w:ascii="Verdana" w:eastAsia="Verdana" w:hAnsi="Verdana" w:cs="Verdana"/>
                <w:sz w:val="18"/>
              </w:rPr>
              <w:t>m)(Yayın No:3712263)</w:t>
            </w: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CESUR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ZAFER,MEMİŞ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SALİH (2017).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Tedarik Zinciri Yönetiminde Dış Kaynak Kullanımı: Üçüncü ve Dördüncü Parti (Taraf)Lojistik.  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III. IBANESS CONGRESS SERIES, 1815-1815. (Özet Bildiri/Sözlü Sunum)(Yayın No:3488481)</w:t>
            </w: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80EE0" w:rsidRDefault="00E80EE0">
            <w:pPr>
              <w:pStyle w:val="EMPTYCELLSTYLE"/>
            </w:pPr>
          </w:p>
        </w:tc>
        <w:tc>
          <w:tcPr>
            <w:tcW w:w="7720" w:type="dxa"/>
            <w:gridSpan w:val="24"/>
          </w:tcPr>
          <w:p w:rsidR="00E80EE0" w:rsidRDefault="00E80EE0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right"/>
            </w:pPr>
            <w:r>
              <w:t>3</w:t>
            </w: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E80EE0" w:rsidRDefault="00E80EE0">
            <w:pPr>
              <w:pStyle w:val="EMPTYCELLSTYLE"/>
            </w:pPr>
          </w:p>
        </w:tc>
        <w:tc>
          <w:tcPr>
            <w:tcW w:w="6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E80EE0" w:rsidRDefault="00E80EE0">
            <w:pPr>
              <w:pStyle w:val="EMPTYCELLSTYLE"/>
            </w:pPr>
          </w:p>
        </w:tc>
        <w:tc>
          <w:tcPr>
            <w:tcW w:w="6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MEMİŞ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SALİH,BENEK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HAKAN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Green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Marketing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Practices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Hospitality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Businesses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New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Jasmin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Hotel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Sample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1st International Black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Environmental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1014-1023. (Tam Metin Bildiri/Sözlü Sunum)(Yayın No:2954421)</w:t>
            </w: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11.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E80EE0" w:rsidRDefault="00E80EE0">
            <w:pPr>
              <w:pStyle w:val="EMPTYCELLSTYLE"/>
            </w:pPr>
          </w:p>
        </w:tc>
        <w:tc>
          <w:tcPr>
            <w:tcW w:w="6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E80EE0" w:rsidRDefault="00E80EE0">
            <w:pPr>
              <w:pStyle w:val="EMPTYCELLSTYLE"/>
            </w:pPr>
          </w:p>
        </w:tc>
        <w:tc>
          <w:tcPr>
            <w:tcW w:w="6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3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C1. Yazılan ulusal/uluslararası kitaplar:</w:t>
            </w: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E80EE0" w:rsidRDefault="00E80EE0">
            <w:pPr>
              <w:pStyle w:val="EMPTYCELLSTYLE"/>
            </w:pPr>
          </w:p>
        </w:tc>
        <w:tc>
          <w:tcPr>
            <w:tcW w:w="6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904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Helal Pazarlama (2017)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MEMİŞ SALİH,  SAKARYA  YAYINCILIK, Basım sayısı:1, ISBN:9786054229666, Türkçe(Bilimsel Kitap), (Yayın No: 3488536)</w:t>
            </w: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1080" w:type="dxa"/>
            <w:gridSpan w:val="7"/>
            <w:tcMar>
              <w:top w:w="0" w:type="dxa"/>
              <w:left w:w="0" w:type="dxa"/>
              <w:bottom w:w="0" w:type="dxa"/>
              <w:right w:w="40" w:type="dxa"/>
            </w:tcMar>
          </w:tcPr>
          <w:p w:rsidR="00E80EE0" w:rsidRDefault="009E5574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904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E80EE0" w:rsidRDefault="00E80EE0">
            <w:pPr>
              <w:pStyle w:val="EMPTYCELLSTYLE"/>
            </w:pPr>
          </w:p>
        </w:tc>
        <w:tc>
          <w:tcPr>
            <w:tcW w:w="6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E80EE0" w:rsidRDefault="00E80EE0">
            <w:pPr>
              <w:pStyle w:val="EMPTYCELLSTYLE"/>
            </w:pPr>
          </w:p>
        </w:tc>
        <w:tc>
          <w:tcPr>
            <w:tcW w:w="6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CESUR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ZAFER,MEMİŞ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SALİH,GÖKKAYA ÖZNUR,DEMİR BARIŞ (2016).  Sosyal Medya Üzerinde Gösterilen Reklamların Ahlak Kavramı Açısından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Değerlendirilmesi  Üniversite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Öğrencileri Üzerine Bir Araştırma.  TURAN-SAM, Uluslararası Bilimsel Hakemli Dergisi, 8(32), </w:t>
            </w:r>
            <w:r>
              <w:rPr>
                <w:rFonts w:ascii="Verdana" w:eastAsia="Verdana" w:hAnsi="Verdana" w:cs="Verdana"/>
                <w:sz w:val="18"/>
              </w:rPr>
              <w:t>274-283. (Kontrol No: 2942901)</w:t>
            </w: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E80EE0" w:rsidRDefault="00E80EE0">
            <w:pPr>
              <w:pStyle w:val="EMPTYCELLSTYLE"/>
            </w:pPr>
          </w:p>
        </w:tc>
        <w:tc>
          <w:tcPr>
            <w:tcW w:w="6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MEMİŞ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SALİH,CESUR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ZAFER (2016).  Algılanan Hizmet Kalitesi İle Marka Bağlılığı İlişkisi Şehirlerarası Yolcu Taşımacılığı Yapan Otobüs Firmaları Üzerine Bir Araştırma.  Celal Bayar Üniversitesi Sosyal Bilimler Dergisi, 14(2), 453-484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10.18026/cbusos.</w:t>
            </w:r>
            <w:r>
              <w:rPr>
                <w:rFonts w:ascii="Verdana" w:eastAsia="Verdana" w:hAnsi="Verdana" w:cs="Verdana"/>
                <w:sz w:val="18"/>
              </w:rPr>
              <w:t>51054 (Kontrol No: 2875242)</w:t>
            </w: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E80EE0" w:rsidRDefault="00E80EE0">
            <w:pPr>
              <w:pStyle w:val="EMPTYCELLSTYLE"/>
            </w:pPr>
          </w:p>
        </w:tc>
        <w:tc>
          <w:tcPr>
            <w:tcW w:w="6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KESKİN HATİCE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DİLARA,MEMİŞ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SALİH (2011).  Retro Pazarlama ve Pazarlamada Uygulanmasına Yönelik Bazı Örnekler.  Süleyman Demirel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Üniversitesiİktisadi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ve İdari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BilimlerFakültesi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Dergisi, 16(3), 191-202. (Kontrol No: 1987736)</w:t>
            </w: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E80EE0" w:rsidRDefault="00E80EE0">
            <w:pPr>
              <w:pStyle w:val="EMPTYCELLSTYLE"/>
            </w:pPr>
          </w:p>
        </w:tc>
        <w:tc>
          <w:tcPr>
            <w:tcW w:w="6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resul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usta,MEMİŞ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SALİH (2009).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Hizmet Kalitesi ve Marka Bağlılığı Arasındaki İlişki Üzerine Müşteri Tatmininin Aracılık Etkisi.  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Atatürk Üniversitesi İktisadi ve İdari Bilimler Dergisi, 23(4), 87-108. (Kontrol No: 1986626)</w:t>
            </w: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90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E80EE0" w:rsidRDefault="00E80EE0">
            <w:pPr>
              <w:pStyle w:val="EMPTYCELLSTYLE"/>
            </w:pPr>
          </w:p>
        </w:tc>
        <w:tc>
          <w:tcPr>
            <w:tcW w:w="6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E80EE0" w:rsidRDefault="00E80EE0">
            <w:pPr>
              <w:pStyle w:val="EMPTYCELLSTYLE"/>
            </w:pPr>
          </w:p>
        </w:tc>
        <w:tc>
          <w:tcPr>
            <w:tcW w:w="6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5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948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MEMİŞ SALİH (2016).  Teknolojik Pazarlama ve Pazarlamada Uygulanmasına Yönelik Bazı Örnekler.  Giresun Üniversitesi İktisadi İdari Bilimler Fakültesi I. Uluslararası Karadeniz İşletmecilik Sempozyumu (IBBAS), 554-566. (Tam Metin Bildiri/Sözlü Sunum)(Yayın </w:t>
            </w:r>
            <w:r>
              <w:rPr>
                <w:rFonts w:ascii="Verdana" w:eastAsia="Verdana" w:hAnsi="Verdana" w:cs="Verdana"/>
                <w:sz w:val="18"/>
              </w:rPr>
              <w:t>No:2875244)</w:t>
            </w: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8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948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E80EE0" w:rsidRDefault="00E80EE0">
            <w:pPr>
              <w:pStyle w:val="EMPTYCELLSTYLE"/>
            </w:pPr>
          </w:p>
        </w:tc>
        <w:tc>
          <w:tcPr>
            <w:tcW w:w="6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948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MEMİŞ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SALİH,KESKİN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HATİCE DİLARA (2015).  Fındık İhracatı Yapan İşletmelerin Depolama Sistemlerinin Lisanslı Depoculuk Yönetmeliğine Uygunluğunun Araştırılması.  I. Uluslararası Kafkasya-Orta Asya Dış Ticaret ve Lojistik Kongresi, 769-788. (Tam Metin Bildi</w:t>
            </w:r>
            <w:r>
              <w:rPr>
                <w:rFonts w:ascii="Verdana" w:eastAsia="Verdana" w:hAnsi="Verdana" w:cs="Verdana"/>
                <w:sz w:val="18"/>
              </w:rPr>
              <w:t>ri/Sözlü Sunum)(Yayın No:1988588)</w:t>
            </w: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0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48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948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E80EE0" w:rsidRDefault="00E80EE0">
            <w:pPr>
              <w:pStyle w:val="EMPTYCELLSTYLE"/>
            </w:pPr>
          </w:p>
        </w:tc>
        <w:tc>
          <w:tcPr>
            <w:tcW w:w="6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E80EE0" w:rsidRDefault="00E80EE0">
            <w:pPr>
              <w:pStyle w:val="EMPTYCELLSTYLE"/>
            </w:pPr>
          </w:p>
        </w:tc>
        <w:tc>
          <w:tcPr>
            <w:tcW w:w="6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3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9E5574">
            <w:r>
              <w:rPr>
                <w:rFonts w:ascii="Verdana" w:eastAsia="Verdana" w:hAnsi="Verdana" w:cs="Verdana"/>
                <w:sz w:val="18"/>
              </w:rPr>
              <w:t>2006-2007</w:t>
            </w:r>
          </w:p>
        </w:tc>
        <w:tc>
          <w:tcPr>
            <w:tcW w:w="20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9E5574">
            <w:r>
              <w:rPr>
                <w:rFonts w:ascii="Verdana" w:eastAsia="Verdana" w:hAnsi="Verdana" w:cs="Verdana"/>
                <w:b/>
                <w:sz w:val="16"/>
              </w:rPr>
              <w:t>YÖNETİCİ YARDIMCISI</w:t>
            </w:r>
          </w:p>
        </w:tc>
        <w:tc>
          <w:tcPr>
            <w:tcW w:w="6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3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E80EE0">
            <w:pPr>
              <w:pStyle w:val="EMPTYCELLSTYLE"/>
            </w:pPr>
          </w:p>
        </w:tc>
        <w:tc>
          <w:tcPr>
            <w:tcW w:w="20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E80EE0">
            <w:pPr>
              <w:pStyle w:val="EMPTYCELLSTYLE"/>
            </w:pPr>
          </w:p>
        </w:tc>
        <w:tc>
          <w:tcPr>
            <w:tcW w:w="70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9E5574">
            <w:r>
              <w:rPr>
                <w:rFonts w:ascii="Verdana" w:eastAsia="Verdana" w:hAnsi="Verdana" w:cs="Verdana"/>
                <w:sz w:val="18"/>
              </w:rPr>
              <w:t>FORTİSBANK GENEL MÜDÜRLÜĞÜ, KREDİ DEĞERLEME VE TAHSİS, (Diğer)</w:t>
            </w: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3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9E5574">
            <w:r>
              <w:rPr>
                <w:rFonts w:ascii="Verdana" w:eastAsia="Verdana" w:hAnsi="Verdana" w:cs="Verdana"/>
                <w:sz w:val="18"/>
              </w:rPr>
              <w:t>2005-2006</w:t>
            </w:r>
          </w:p>
        </w:tc>
        <w:tc>
          <w:tcPr>
            <w:tcW w:w="20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9E5574">
            <w:r>
              <w:rPr>
                <w:rFonts w:ascii="Verdana" w:eastAsia="Verdana" w:hAnsi="Verdana" w:cs="Verdana"/>
                <w:b/>
                <w:sz w:val="16"/>
              </w:rPr>
              <w:t>MÜŞTERİ TEMSİLCİSİ</w:t>
            </w:r>
          </w:p>
        </w:tc>
        <w:tc>
          <w:tcPr>
            <w:tcW w:w="6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13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E80EE0">
            <w:pPr>
              <w:pStyle w:val="EMPTYCELLSTYLE"/>
            </w:pPr>
          </w:p>
        </w:tc>
        <w:tc>
          <w:tcPr>
            <w:tcW w:w="20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E80EE0">
            <w:pPr>
              <w:pStyle w:val="EMPTYCELLSTYLE"/>
            </w:pPr>
          </w:p>
        </w:tc>
        <w:tc>
          <w:tcPr>
            <w:tcW w:w="70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E0" w:rsidRDefault="009E5574">
            <w:r>
              <w:rPr>
                <w:rFonts w:ascii="Verdana" w:eastAsia="Verdana" w:hAnsi="Verdana" w:cs="Verdana"/>
                <w:sz w:val="18"/>
              </w:rPr>
              <w:t>TURKCELL MÜŞTERİ HİZMETLERİ, MÜŞTERİ HİZMETLERİ YÖNETİMİ, (Diğer)</w:t>
            </w: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E80EE0" w:rsidRDefault="00E80EE0">
            <w:pPr>
              <w:pStyle w:val="EMPTYCELLSTYLE"/>
            </w:pPr>
          </w:p>
        </w:tc>
        <w:tc>
          <w:tcPr>
            <w:tcW w:w="6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E80EE0" w:rsidRDefault="00E80EE0">
            <w:pPr>
              <w:pStyle w:val="EMPTYCELLSTYLE"/>
            </w:pPr>
          </w:p>
        </w:tc>
        <w:tc>
          <w:tcPr>
            <w:tcW w:w="6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82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E80EE0" w:rsidRDefault="00E80EE0">
            <w:pPr>
              <w:pStyle w:val="EMPTYCELLSTYLE"/>
            </w:pPr>
          </w:p>
        </w:tc>
        <w:tc>
          <w:tcPr>
            <w:tcW w:w="6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1082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E80EE0" w:rsidRDefault="00E80EE0">
            <w:pPr>
              <w:pStyle w:val="EMPTYCELLSTYLE"/>
            </w:pPr>
          </w:p>
        </w:tc>
        <w:tc>
          <w:tcPr>
            <w:tcW w:w="6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8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  <w:tr w:rsidR="00E80EE0" w:rsidTr="006F0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E80EE0" w:rsidRDefault="00E80E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0EE0" w:rsidRDefault="00E80EE0">
            <w:pPr>
              <w:pStyle w:val="EMPTYCELLSTYLE"/>
            </w:pPr>
          </w:p>
        </w:tc>
        <w:tc>
          <w:tcPr>
            <w:tcW w:w="4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E80EE0" w:rsidRDefault="00E80EE0">
            <w:pPr>
              <w:pStyle w:val="EMPTYCELLSTYLE"/>
            </w:pPr>
          </w:p>
        </w:tc>
        <w:tc>
          <w:tcPr>
            <w:tcW w:w="620" w:type="dxa"/>
          </w:tcPr>
          <w:p w:rsidR="00E80EE0" w:rsidRDefault="00E80EE0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E80EE0" w:rsidRDefault="00E80EE0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EE0" w:rsidRDefault="009E5574">
            <w:pPr>
              <w:jc w:val="right"/>
            </w:pPr>
            <w:r>
              <w:t>4</w:t>
            </w:r>
          </w:p>
        </w:tc>
        <w:tc>
          <w:tcPr>
            <w:tcW w:w="400" w:type="dxa"/>
          </w:tcPr>
          <w:p w:rsidR="00E80EE0" w:rsidRDefault="00E80EE0">
            <w:pPr>
              <w:pStyle w:val="EMPTYCELLSTYLE"/>
            </w:pPr>
          </w:p>
        </w:tc>
      </w:tr>
    </w:tbl>
    <w:p w:rsidR="009E5574" w:rsidRDefault="009E5574"/>
    <w:sectPr w:rsidR="009E557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80EE0"/>
    <w:rsid w:val="006F0983"/>
    <w:rsid w:val="009E5574"/>
    <w:rsid w:val="00E8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A2208-DF9A-45FB-97F6-523236F9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2066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2</cp:revision>
  <dcterms:created xsi:type="dcterms:W3CDTF">2018-06-18T08:32:00Z</dcterms:created>
  <dcterms:modified xsi:type="dcterms:W3CDTF">2018-06-18T08:34:00Z</dcterms:modified>
</cp:coreProperties>
</file>